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D2" w:rsidRDefault="00B344D2" w:rsidP="00B344D2">
      <w:pPr>
        <w:pStyle w:val="a5"/>
        <w:spacing w:before="0" w:beforeAutospacing="0" w:after="0" w:afterAutospacing="0" w:line="556" w:lineRule="atLeast"/>
        <w:jc w:val="center"/>
        <w:rPr>
          <w:color w:val="333333"/>
          <w:sz w:val="21"/>
          <w:szCs w:val="21"/>
        </w:rPr>
      </w:pPr>
      <w:r>
        <w:rPr>
          <w:rStyle w:val="a6"/>
          <w:rFonts w:ascii="黑体" w:eastAsia="黑体" w:hAnsi="黑体" w:hint="eastAsia"/>
          <w:color w:val="000000"/>
          <w:sz w:val="53"/>
          <w:szCs w:val="53"/>
        </w:rPr>
        <w:t>上海戏剧学院学术道德规范</w:t>
      </w:r>
      <w:r>
        <w:rPr>
          <w:rFonts w:ascii="黑体" w:eastAsia="黑体" w:hAnsi="黑体" w:hint="eastAsia"/>
          <w:color w:val="000000"/>
          <w:sz w:val="36"/>
          <w:szCs w:val="36"/>
        </w:rPr>
        <w:t>（试行）</w:t>
      </w:r>
    </w:p>
    <w:p w:rsidR="00B344D2" w:rsidRDefault="00B344D2" w:rsidP="00B344D2">
      <w:pPr>
        <w:pStyle w:val="a5"/>
        <w:spacing w:before="0" w:beforeAutospacing="0" w:after="0" w:afterAutospacing="0" w:line="556" w:lineRule="atLeast"/>
        <w:jc w:val="center"/>
        <w:rPr>
          <w:color w:val="333333"/>
          <w:sz w:val="21"/>
          <w:szCs w:val="21"/>
        </w:rPr>
      </w:pPr>
    </w:p>
    <w:p w:rsidR="00B344D2" w:rsidRDefault="00B344D2" w:rsidP="00B344D2">
      <w:pPr>
        <w:pStyle w:val="a5"/>
        <w:spacing w:before="0" w:beforeAutospacing="0" w:after="0" w:afterAutospacing="0" w:line="556" w:lineRule="atLeast"/>
        <w:jc w:val="center"/>
        <w:rPr>
          <w:color w:val="333333"/>
          <w:sz w:val="21"/>
          <w:szCs w:val="21"/>
        </w:rPr>
      </w:pPr>
      <w:r>
        <w:rPr>
          <w:rFonts w:ascii="黑体" w:eastAsia="黑体" w:hAnsi="黑体" w:hint="eastAsia"/>
          <w:color w:val="000000"/>
          <w:sz w:val="32"/>
          <w:szCs w:val="32"/>
        </w:rPr>
        <w:t>第一章 总则</w:t>
      </w:r>
    </w:p>
    <w:p w:rsidR="00B344D2" w:rsidRDefault="00B344D2" w:rsidP="00B344D2">
      <w:pPr>
        <w:pStyle w:val="a5"/>
        <w:spacing w:before="119"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第一条</w:t>
      </w:r>
      <w:r>
        <w:rPr>
          <w:rFonts w:ascii="仿宋" w:eastAsia="仿宋" w:hAnsi="仿宋" w:hint="eastAsia"/>
          <w:color w:val="444444"/>
          <w:sz w:val="30"/>
          <w:szCs w:val="30"/>
        </w:rPr>
        <w:t>为了维护学术尊严，规范学术行为，进一步弘扬求真求实精神，营造良好的学术创新氛围，结</w:t>
      </w:r>
      <w:bookmarkStart w:id="0" w:name="_GoBack"/>
      <w:r>
        <w:rPr>
          <w:rFonts w:ascii="仿宋" w:eastAsia="仿宋" w:hAnsi="仿宋" w:hint="eastAsia"/>
          <w:color w:val="444444"/>
          <w:sz w:val="30"/>
          <w:szCs w:val="30"/>
        </w:rPr>
        <w:t>合学校实</w:t>
      </w:r>
      <w:bookmarkEnd w:id="0"/>
      <w:r>
        <w:rPr>
          <w:rFonts w:ascii="仿宋" w:eastAsia="仿宋" w:hAnsi="仿宋" w:hint="eastAsia"/>
          <w:color w:val="444444"/>
          <w:sz w:val="30"/>
          <w:szCs w:val="30"/>
        </w:rPr>
        <w:t>际，制定本规范。</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第二条</w:t>
      </w:r>
      <w:r>
        <w:rPr>
          <w:rFonts w:ascii="仿宋" w:eastAsia="仿宋" w:hAnsi="仿宋" w:hint="eastAsia"/>
          <w:color w:val="444444"/>
          <w:sz w:val="30"/>
          <w:szCs w:val="30"/>
        </w:rPr>
        <w:t>本规范适用于学校从事学术研究活动的各类教师、博士后研究人员、学生和访问学者等人员（以下简称学术人员）。</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第三条</w:t>
      </w:r>
      <w:r>
        <w:rPr>
          <w:rFonts w:ascii="Calibri" w:eastAsia="仿宋" w:hAnsi="Calibri" w:cs="Calibri"/>
          <w:color w:val="444444"/>
          <w:sz w:val="30"/>
          <w:szCs w:val="30"/>
        </w:rPr>
        <w:t> </w:t>
      </w:r>
      <w:r>
        <w:rPr>
          <w:rFonts w:ascii="仿宋" w:eastAsia="仿宋" w:hAnsi="仿宋" w:hint="eastAsia"/>
          <w:color w:val="444444"/>
          <w:sz w:val="30"/>
          <w:szCs w:val="30"/>
        </w:rPr>
        <w:t>本规范所指的学术活动包括人文社会科学和各种交叉科学领域的基础研究、应用研究等活动。</w:t>
      </w:r>
    </w:p>
    <w:p w:rsidR="00B344D2" w:rsidRDefault="00B344D2" w:rsidP="00B344D2">
      <w:pPr>
        <w:pStyle w:val="a5"/>
        <w:spacing w:before="0" w:beforeAutospacing="0" w:after="0" w:afterAutospacing="0" w:line="612" w:lineRule="atLeast"/>
        <w:ind w:firstLine="646"/>
        <w:rPr>
          <w:color w:val="333333"/>
          <w:sz w:val="21"/>
          <w:szCs w:val="21"/>
        </w:rPr>
      </w:pPr>
    </w:p>
    <w:p w:rsidR="00B344D2" w:rsidRDefault="00B344D2" w:rsidP="00B344D2">
      <w:pPr>
        <w:pStyle w:val="a5"/>
        <w:spacing w:before="0" w:beforeAutospacing="0" w:after="0" w:afterAutospacing="0" w:line="612" w:lineRule="atLeast"/>
        <w:jc w:val="center"/>
        <w:rPr>
          <w:color w:val="333333"/>
          <w:sz w:val="21"/>
          <w:szCs w:val="21"/>
        </w:rPr>
      </w:pPr>
      <w:r>
        <w:rPr>
          <w:rFonts w:ascii="黑体" w:eastAsia="黑体" w:hAnsi="黑体" w:hint="eastAsia"/>
          <w:color w:val="444444"/>
          <w:sz w:val="32"/>
          <w:szCs w:val="32"/>
        </w:rPr>
        <w:t>第二章 基本规范</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第四条</w:t>
      </w:r>
      <w:r>
        <w:rPr>
          <w:rFonts w:ascii="仿宋" w:eastAsia="仿宋" w:hAnsi="仿宋" w:hint="eastAsia"/>
          <w:color w:val="444444"/>
          <w:sz w:val="30"/>
          <w:szCs w:val="30"/>
        </w:rPr>
        <w:t>学术人员应当认真维护学术道德和学术自由，坚持立德为先、立学为本，加强学术自律，严守学术诚信。</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第五条</w:t>
      </w:r>
      <w:r>
        <w:rPr>
          <w:rFonts w:ascii="仿宋" w:eastAsia="仿宋" w:hAnsi="仿宋" w:hint="eastAsia"/>
          <w:color w:val="444444"/>
          <w:sz w:val="30"/>
          <w:szCs w:val="30"/>
        </w:rPr>
        <w:t>学术人员应当秉持严谨、求实、协作、奉献的科学精神和治学态度，潜心研究，追求卓越。</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第六条</w:t>
      </w:r>
      <w:r>
        <w:rPr>
          <w:rFonts w:ascii="仿宋" w:eastAsia="仿宋" w:hAnsi="仿宋" w:hint="eastAsia"/>
          <w:color w:val="444444"/>
          <w:sz w:val="30"/>
          <w:szCs w:val="30"/>
        </w:rPr>
        <w:t>学术人员应当自觉维护学术尊严和学校声誉，努力做良好学风的维护者和弘扬者，共同营造风清气正的学术氛围。</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lastRenderedPageBreak/>
        <w:t>第七条</w:t>
      </w:r>
      <w:r>
        <w:rPr>
          <w:rFonts w:ascii="仿宋" w:eastAsia="仿宋" w:hAnsi="仿宋" w:hint="eastAsia"/>
          <w:color w:val="444444"/>
          <w:sz w:val="30"/>
          <w:szCs w:val="30"/>
        </w:rPr>
        <w:t>申报研究项目时应当进行认真的调查研究，申报材料应当客观、真实，不得提供虚假学术信息。</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第八条</w:t>
      </w:r>
      <w:r>
        <w:rPr>
          <w:rFonts w:ascii="Calibri" w:eastAsia="仿宋" w:hAnsi="Calibri" w:cs="Calibri"/>
          <w:color w:val="444444"/>
          <w:sz w:val="30"/>
          <w:szCs w:val="30"/>
        </w:rPr>
        <w:t> </w:t>
      </w:r>
      <w:r>
        <w:rPr>
          <w:rFonts w:ascii="仿宋" w:eastAsia="仿宋" w:hAnsi="仿宋" w:hint="eastAsia"/>
          <w:color w:val="444444"/>
          <w:sz w:val="30"/>
          <w:szCs w:val="30"/>
        </w:rPr>
        <w:t>学术人员参加各种学术活动应自觉维护学校名誉和利益。在经允许使用上海戏剧学院名义开展的学术活动中，应保证不损害学校利益；在参与校外合作学术活动时，若需使用上海戏剧学院名称来表明身份，应申明责任自负，上海戏剧学院不对该活动或出版物负有法律责任。</w:t>
      </w:r>
    </w:p>
    <w:p w:rsidR="00B344D2" w:rsidRDefault="00B344D2" w:rsidP="00B344D2">
      <w:pPr>
        <w:pStyle w:val="a5"/>
        <w:spacing w:before="0" w:beforeAutospacing="0" w:after="0" w:afterAutospacing="0" w:line="612" w:lineRule="atLeast"/>
        <w:rPr>
          <w:color w:val="333333"/>
          <w:sz w:val="21"/>
          <w:szCs w:val="21"/>
        </w:rPr>
      </w:pPr>
    </w:p>
    <w:p w:rsidR="00B344D2" w:rsidRDefault="00B344D2" w:rsidP="00B344D2">
      <w:pPr>
        <w:pStyle w:val="a5"/>
        <w:spacing w:before="0" w:beforeAutospacing="0" w:after="0" w:afterAutospacing="0" w:line="612" w:lineRule="atLeast"/>
        <w:jc w:val="center"/>
        <w:rPr>
          <w:color w:val="333333"/>
          <w:sz w:val="21"/>
          <w:szCs w:val="21"/>
        </w:rPr>
      </w:pPr>
      <w:r>
        <w:rPr>
          <w:rFonts w:ascii="黑体" w:eastAsia="黑体" w:hAnsi="黑体" w:hint="eastAsia"/>
          <w:color w:val="444444"/>
          <w:sz w:val="32"/>
          <w:szCs w:val="32"/>
        </w:rPr>
        <w:t>第三章 科学研究规范</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第九条</w:t>
      </w:r>
      <w:r>
        <w:rPr>
          <w:rFonts w:ascii="仿宋" w:eastAsia="仿宋" w:hAnsi="仿宋" w:hint="eastAsia"/>
          <w:color w:val="444444"/>
          <w:sz w:val="30"/>
          <w:szCs w:val="30"/>
        </w:rPr>
        <w:t>研究项目实施过程中应当遵循良好科研实践规范，尊重知识产权，恪守严格、严肃、严密的科学态度，反对弄虚作假。</w:t>
      </w:r>
    </w:p>
    <w:p w:rsidR="00B344D2" w:rsidRDefault="00B344D2" w:rsidP="00B344D2">
      <w:pPr>
        <w:pStyle w:val="a5"/>
        <w:spacing w:before="0" w:beforeAutospacing="0" w:after="0" w:afterAutospacing="0" w:line="612" w:lineRule="atLeast"/>
        <w:ind w:firstLine="646"/>
        <w:rPr>
          <w:color w:val="333333"/>
          <w:sz w:val="21"/>
          <w:szCs w:val="21"/>
        </w:rPr>
      </w:pPr>
      <w:r>
        <w:rPr>
          <w:rStyle w:val="a6"/>
          <w:rFonts w:ascii="仿宋" w:eastAsia="仿宋" w:hAnsi="仿宋" w:hint="eastAsia"/>
          <w:color w:val="444444"/>
          <w:sz w:val="30"/>
          <w:szCs w:val="30"/>
        </w:rPr>
        <w:t>第十条</w:t>
      </w:r>
      <w:r>
        <w:rPr>
          <w:rFonts w:ascii="仿宋" w:eastAsia="仿宋" w:hAnsi="仿宋" w:hint="eastAsia"/>
          <w:color w:val="444444"/>
          <w:sz w:val="30"/>
          <w:szCs w:val="30"/>
        </w:rPr>
        <w:t>研究协作过程中应当实事求是、坚持真理，积极开展学术批评、学术争鸣。</w:t>
      </w:r>
    </w:p>
    <w:p w:rsidR="00B344D2" w:rsidRDefault="00B344D2" w:rsidP="00B344D2">
      <w:pPr>
        <w:pStyle w:val="a5"/>
        <w:spacing w:before="0" w:beforeAutospacing="0" w:after="0" w:afterAutospacing="0" w:line="612" w:lineRule="atLeast"/>
        <w:ind w:firstLine="646"/>
        <w:rPr>
          <w:color w:val="333333"/>
          <w:sz w:val="21"/>
          <w:szCs w:val="21"/>
        </w:rPr>
      </w:pPr>
      <w:r>
        <w:rPr>
          <w:rStyle w:val="a6"/>
          <w:rFonts w:ascii="仿宋" w:eastAsia="仿宋" w:hAnsi="仿宋" w:hint="eastAsia"/>
          <w:color w:val="444444"/>
          <w:sz w:val="30"/>
          <w:szCs w:val="30"/>
        </w:rPr>
        <w:t>第十一条</w:t>
      </w:r>
      <w:r>
        <w:rPr>
          <w:rFonts w:ascii="仿宋" w:eastAsia="仿宋" w:hAnsi="仿宋" w:hint="eastAsia"/>
          <w:color w:val="444444"/>
          <w:sz w:val="30"/>
          <w:szCs w:val="30"/>
        </w:rPr>
        <w:t>学术研究过程中应当注重学术质量，拒绝粗制滥造，抵制急功近利、投机取巧行为。</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第十二条</w:t>
      </w:r>
      <w:r>
        <w:rPr>
          <w:rFonts w:ascii="Calibri" w:eastAsia="仿宋" w:hAnsi="Calibri" w:cs="Calibri"/>
          <w:color w:val="444444"/>
          <w:sz w:val="30"/>
          <w:szCs w:val="30"/>
        </w:rPr>
        <w:t> </w:t>
      </w:r>
      <w:r>
        <w:rPr>
          <w:rFonts w:ascii="仿宋" w:eastAsia="仿宋" w:hAnsi="仿宋" w:hint="eastAsia"/>
          <w:color w:val="444444"/>
          <w:sz w:val="30"/>
          <w:szCs w:val="30"/>
        </w:rPr>
        <w:t>科学、合理地使用科研经费和其他科研资源。</w:t>
      </w:r>
    </w:p>
    <w:p w:rsidR="00B344D2" w:rsidRDefault="00B344D2" w:rsidP="00B344D2">
      <w:pPr>
        <w:pStyle w:val="a5"/>
        <w:spacing w:before="0" w:beforeAutospacing="0" w:after="0" w:afterAutospacing="0" w:line="612" w:lineRule="atLeast"/>
        <w:rPr>
          <w:color w:val="333333"/>
          <w:sz w:val="21"/>
          <w:szCs w:val="21"/>
        </w:rPr>
      </w:pPr>
    </w:p>
    <w:p w:rsidR="00B344D2" w:rsidRDefault="00B344D2" w:rsidP="00B344D2">
      <w:pPr>
        <w:pStyle w:val="a5"/>
        <w:spacing w:before="0" w:beforeAutospacing="0" w:after="0" w:afterAutospacing="0" w:line="612" w:lineRule="atLeast"/>
        <w:jc w:val="center"/>
        <w:rPr>
          <w:color w:val="333333"/>
          <w:sz w:val="21"/>
          <w:szCs w:val="21"/>
        </w:rPr>
      </w:pPr>
      <w:r>
        <w:rPr>
          <w:rFonts w:ascii="黑体" w:eastAsia="黑体" w:hAnsi="黑体" w:hint="eastAsia"/>
          <w:color w:val="444444"/>
          <w:sz w:val="32"/>
          <w:szCs w:val="32"/>
        </w:rPr>
        <w:t>第四章 学术成果规范</w:t>
      </w:r>
    </w:p>
    <w:p w:rsidR="00B344D2" w:rsidRDefault="00B344D2" w:rsidP="00B344D2">
      <w:pPr>
        <w:pStyle w:val="a5"/>
        <w:spacing w:before="0" w:beforeAutospacing="0" w:after="0" w:afterAutospacing="0" w:line="612" w:lineRule="atLeast"/>
        <w:ind w:firstLine="646"/>
        <w:rPr>
          <w:color w:val="333333"/>
          <w:sz w:val="21"/>
          <w:szCs w:val="21"/>
        </w:rPr>
      </w:pPr>
      <w:r>
        <w:rPr>
          <w:rStyle w:val="a6"/>
          <w:rFonts w:ascii="仿宋" w:eastAsia="仿宋" w:hAnsi="仿宋" w:hint="eastAsia"/>
          <w:color w:val="444444"/>
          <w:sz w:val="30"/>
          <w:szCs w:val="30"/>
        </w:rPr>
        <w:t>第十三条</w:t>
      </w:r>
      <w:r>
        <w:rPr>
          <w:rFonts w:ascii="Calibri" w:eastAsia="仿宋" w:hAnsi="Calibri" w:cs="Calibri"/>
          <w:color w:val="444444"/>
          <w:sz w:val="30"/>
          <w:szCs w:val="30"/>
        </w:rPr>
        <w:t> </w:t>
      </w:r>
      <w:r>
        <w:rPr>
          <w:rFonts w:ascii="仿宋" w:eastAsia="仿宋" w:hAnsi="仿宋" w:hint="eastAsia"/>
          <w:color w:val="444444"/>
          <w:sz w:val="30"/>
          <w:szCs w:val="30"/>
        </w:rPr>
        <w:t>尊重他人知识产权，不得抄袭他人已发表或未发表的作品或侵吞他人的学术成果。</w:t>
      </w:r>
    </w:p>
    <w:p w:rsidR="00B344D2" w:rsidRDefault="00B344D2" w:rsidP="00B344D2">
      <w:pPr>
        <w:pStyle w:val="a5"/>
        <w:spacing w:before="0" w:beforeAutospacing="0" w:after="0" w:afterAutospacing="0" w:line="612" w:lineRule="atLeast"/>
        <w:ind w:firstLine="646"/>
        <w:rPr>
          <w:color w:val="333333"/>
          <w:sz w:val="21"/>
          <w:szCs w:val="21"/>
        </w:rPr>
      </w:pPr>
      <w:r>
        <w:rPr>
          <w:rStyle w:val="a6"/>
          <w:rFonts w:ascii="仿宋" w:eastAsia="仿宋" w:hAnsi="仿宋" w:hint="eastAsia"/>
          <w:color w:val="444444"/>
          <w:sz w:val="30"/>
          <w:szCs w:val="30"/>
        </w:rPr>
        <w:lastRenderedPageBreak/>
        <w:t>第十四条</w:t>
      </w:r>
      <w:r>
        <w:rPr>
          <w:rFonts w:ascii="Calibri" w:eastAsia="仿宋" w:hAnsi="Calibri" w:cs="Calibri"/>
          <w:color w:val="444444"/>
          <w:sz w:val="30"/>
          <w:szCs w:val="30"/>
        </w:rPr>
        <w:t> </w:t>
      </w:r>
      <w:r>
        <w:rPr>
          <w:rFonts w:ascii="仿宋" w:eastAsia="仿宋" w:hAnsi="仿宋" w:hint="eastAsia"/>
          <w:color w:val="444444"/>
          <w:sz w:val="30"/>
          <w:szCs w:val="30"/>
        </w:rPr>
        <w:t>只有对学术成果做出实质性贡献者，才有资格在成果上署名，合作的学术成果在提交前或发表前须经所有署名人审阅，所有署名人应对本人完成的部分，项目负责人、主编、第一署名人、通讯作者等应对发表著作的整体负责。</w:t>
      </w:r>
    </w:p>
    <w:p w:rsidR="00B344D2" w:rsidRDefault="00B344D2" w:rsidP="00B344D2">
      <w:pPr>
        <w:pStyle w:val="a5"/>
        <w:spacing w:before="0" w:beforeAutospacing="0" w:after="0" w:afterAutospacing="0" w:line="612" w:lineRule="atLeast"/>
        <w:ind w:firstLine="646"/>
        <w:rPr>
          <w:color w:val="333333"/>
          <w:sz w:val="21"/>
          <w:szCs w:val="21"/>
        </w:rPr>
      </w:pPr>
      <w:r>
        <w:rPr>
          <w:rStyle w:val="a6"/>
          <w:rFonts w:ascii="仿宋" w:eastAsia="仿宋" w:hAnsi="仿宋" w:hint="eastAsia"/>
          <w:color w:val="444444"/>
          <w:sz w:val="30"/>
          <w:szCs w:val="30"/>
        </w:rPr>
        <w:t>第十五条</w:t>
      </w:r>
      <w:r>
        <w:rPr>
          <w:rFonts w:ascii="Calibri" w:eastAsia="仿宋" w:hAnsi="Calibri" w:cs="Calibri"/>
          <w:color w:val="444444"/>
          <w:sz w:val="30"/>
          <w:szCs w:val="30"/>
        </w:rPr>
        <w:t> </w:t>
      </w:r>
      <w:r>
        <w:rPr>
          <w:rFonts w:ascii="仿宋" w:eastAsia="仿宋" w:hAnsi="仿宋" w:hint="eastAsia"/>
          <w:color w:val="444444"/>
          <w:sz w:val="30"/>
          <w:szCs w:val="30"/>
        </w:rPr>
        <w:t>学术成果表述应客观。一旦发现已发表的成果中有疏漏或错误，作者应及时向相关人员和机构报告，根据错误性质实施有效补救措施，如勘误、补遗或撤回。</w:t>
      </w:r>
    </w:p>
    <w:p w:rsidR="00B344D2" w:rsidRDefault="00B344D2" w:rsidP="00B344D2">
      <w:pPr>
        <w:pStyle w:val="a5"/>
        <w:spacing w:before="0" w:beforeAutospacing="0" w:after="0" w:afterAutospacing="0" w:line="612" w:lineRule="atLeast"/>
        <w:ind w:firstLine="646"/>
        <w:rPr>
          <w:color w:val="333333"/>
          <w:sz w:val="21"/>
          <w:szCs w:val="21"/>
        </w:rPr>
      </w:pPr>
      <w:r>
        <w:rPr>
          <w:rStyle w:val="a6"/>
          <w:rFonts w:ascii="仿宋" w:eastAsia="仿宋" w:hAnsi="仿宋" w:hint="eastAsia"/>
          <w:color w:val="444444"/>
          <w:sz w:val="30"/>
          <w:szCs w:val="30"/>
        </w:rPr>
        <w:t>第十六条</w:t>
      </w:r>
      <w:r>
        <w:rPr>
          <w:rFonts w:ascii="Calibri" w:eastAsia="仿宋" w:hAnsi="Calibri" w:cs="Calibri"/>
          <w:color w:val="444444"/>
          <w:sz w:val="30"/>
          <w:szCs w:val="30"/>
        </w:rPr>
        <w:t> </w:t>
      </w:r>
      <w:r>
        <w:rPr>
          <w:rFonts w:ascii="仿宋" w:eastAsia="仿宋" w:hAnsi="仿宋" w:hint="eastAsia"/>
          <w:color w:val="444444"/>
          <w:sz w:val="30"/>
          <w:szCs w:val="30"/>
        </w:rPr>
        <w:t>学术成果不应重复发表。另有约定再次发表时，应注明前次发表情况。</w:t>
      </w:r>
    </w:p>
    <w:p w:rsidR="00B344D2" w:rsidRDefault="00B344D2" w:rsidP="00B344D2">
      <w:pPr>
        <w:pStyle w:val="a5"/>
        <w:spacing w:before="0" w:beforeAutospacing="0" w:after="0" w:afterAutospacing="0" w:line="612" w:lineRule="atLeast"/>
        <w:ind w:firstLine="646"/>
        <w:rPr>
          <w:color w:val="333333"/>
          <w:sz w:val="21"/>
          <w:szCs w:val="21"/>
        </w:rPr>
      </w:pPr>
    </w:p>
    <w:p w:rsidR="00B344D2" w:rsidRDefault="00B344D2" w:rsidP="00B344D2">
      <w:pPr>
        <w:pStyle w:val="a5"/>
        <w:spacing w:before="0" w:beforeAutospacing="0" w:after="0" w:afterAutospacing="0" w:line="612" w:lineRule="atLeast"/>
        <w:jc w:val="center"/>
        <w:rPr>
          <w:color w:val="333333"/>
          <w:sz w:val="21"/>
          <w:szCs w:val="21"/>
        </w:rPr>
      </w:pPr>
      <w:r>
        <w:rPr>
          <w:rFonts w:ascii="黑体" w:eastAsia="黑体" w:hAnsi="黑体" w:hint="eastAsia"/>
          <w:color w:val="444444"/>
          <w:sz w:val="32"/>
          <w:szCs w:val="32"/>
        </w:rPr>
        <w:t>第五章 学术评价规范</w:t>
      </w:r>
    </w:p>
    <w:p w:rsidR="00B344D2" w:rsidRDefault="00B344D2" w:rsidP="00B344D2">
      <w:pPr>
        <w:pStyle w:val="a5"/>
        <w:spacing w:before="0" w:beforeAutospacing="0" w:after="0" w:afterAutospacing="0" w:line="612" w:lineRule="atLeast"/>
        <w:ind w:firstLine="646"/>
        <w:rPr>
          <w:color w:val="333333"/>
          <w:sz w:val="21"/>
          <w:szCs w:val="21"/>
        </w:rPr>
      </w:pPr>
      <w:r>
        <w:rPr>
          <w:rStyle w:val="a6"/>
          <w:rFonts w:ascii="仿宋" w:eastAsia="仿宋" w:hAnsi="仿宋" w:hint="eastAsia"/>
          <w:color w:val="444444"/>
          <w:sz w:val="30"/>
          <w:szCs w:val="30"/>
        </w:rPr>
        <w:t>第十七条</w:t>
      </w:r>
      <w:r>
        <w:rPr>
          <w:rFonts w:ascii="仿宋" w:eastAsia="仿宋" w:hAnsi="仿宋" w:hint="eastAsia"/>
          <w:color w:val="444444"/>
          <w:sz w:val="30"/>
          <w:szCs w:val="30"/>
        </w:rPr>
        <w:t>学术评价应当以科学价值、技术价值、经济价值、社会价值、文化价值为基本标准，反对非学术因素影响评价和唯论文数量为标准等不良倾向。</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第十八条</w:t>
      </w:r>
      <w:r>
        <w:rPr>
          <w:rFonts w:ascii="Calibri" w:eastAsia="仿宋" w:hAnsi="Calibri" w:cs="Calibri"/>
          <w:color w:val="444444"/>
          <w:sz w:val="30"/>
          <w:szCs w:val="30"/>
        </w:rPr>
        <w:t> </w:t>
      </w:r>
      <w:r>
        <w:rPr>
          <w:rFonts w:ascii="仿宋" w:eastAsia="仿宋" w:hAnsi="仿宋" w:hint="eastAsia"/>
          <w:color w:val="444444"/>
          <w:sz w:val="30"/>
          <w:szCs w:val="30"/>
        </w:rPr>
        <w:t>在参加校内外各类项目评审、机构评估、出版物或研究报告审阅、人事聘用、职务聘任、岗位考核、奖项评定等同行评议时，评议专家均有责任和义务遵守相关规定，对评议对象做出客观、公正的评价。</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第十九条</w:t>
      </w:r>
      <w:r>
        <w:rPr>
          <w:rFonts w:ascii="Calibri" w:eastAsia="仿宋" w:hAnsi="Calibri" w:cs="Calibri"/>
          <w:color w:val="444444"/>
          <w:sz w:val="30"/>
          <w:szCs w:val="30"/>
        </w:rPr>
        <w:t> </w:t>
      </w:r>
      <w:r>
        <w:rPr>
          <w:rFonts w:ascii="仿宋" w:eastAsia="仿宋" w:hAnsi="仿宋" w:hint="eastAsia"/>
          <w:color w:val="444444"/>
          <w:sz w:val="30"/>
          <w:szCs w:val="30"/>
        </w:rPr>
        <w:t>评议专家应对其评价意见负责，并有责任对评议材料和评议结果保密，未经许可不得泄露、使用或传播。对不当评价、虚假评价、泄密、披露不实信息或恶意中伤等造成的后果承担相应责任。</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lastRenderedPageBreak/>
        <w:t>第二十条</w:t>
      </w:r>
      <w:r>
        <w:rPr>
          <w:rFonts w:ascii="Calibri" w:eastAsia="仿宋" w:hAnsi="Calibri" w:cs="Calibri"/>
          <w:color w:val="444444"/>
          <w:sz w:val="30"/>
          <w:szCs w:val="30"/>
        </w:rPr>
        <w:t> </w:t>
      </w:r>
      <w:r>
        <w:rPr>
          <w:rFonts w:ascii="仿宋" w:eastAsia="仿宋" w:hAnsi="仿宋" w:hint="eastAsia"/>
          <w:color w:val="444444"/>
          <w:sz w:val="30"/>
          <w:szCs w:val="30"/>
        </w:rPr>
        <w:t>为保证评审的公正性，在评议专家与评议对象存在利益关系或冲突时，评议专家应主动向评审机构提出回避，或如实说明情况。</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第二十一条</w:t>
      </w:r>
      <w:r>
        <w:rPr>
          <w:rFonts w:ascii="Calibri" w:eastAsia="仿宋" w:hAnsi="Calibri" w:cs="Calibri"/>
          <w:color w:val="444444"/>
          <w:sz w:val="30"/>
          <w:szCs w:val="30"/>
        </w:rPr>
        <w:t> </w:t>
      </w:r>
      <w:r>
        <w:rPr>
          <w:rFonts w:ascii="仿宋" w:eastAsia="仿宋" w:hAnsi="仿宋" w:hint="eastAsia"/>
          <w:color w:val="444444"/>
          <w:sz w:val="30"/>
          <w:szCs w:val="30"/>
        </w:rPr>
        <w:t>被评议对象不得干扰评价过程，评议专家不得收取评议对象赠予的有碍公正评议的礼物或其他馈赠。否则，应对其不正当行为引发的一切后果负责。</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第二十二条</w:t>
      </w:r>
      <w:r>
        <w:rPr>
          <w:rFonts w:ascii="Calibri" w:eastAsia="仿宋" w:hAnsi="Calibri" w:cs="Calibri"/>
          <w:color w:val="444444"/>
          <w:sz w:val="30"/>
          <w:szCs w:val="30"/>
        </w:rPr>
        <w:t> </w:t>
      </w:r>
      <w:r>
        <w:rPr>
          <w:rFonts w:ascii="仿宋" w:eastAsia="仿宋" w:hAnsi="仿宋" w:hint="eastAsia"/>
          <w:color w:val="444444"/>
          <w:sz w:val="30"/>
          <w:szCs w:val="30"/>
        </w:rPr>
        <w:t>评议专家在开展学术批评时应以学术为中心，以文本为依据，以理服人。批评者应正当行使学术批评的权利，并承担相应的责任；被批评者有反批评的权利，但不得对批评者压制或报复。</w:t>
      </w:r>
    </w:p>
    <w:p w:rsidR="00B344D2" w:rsidRDefault="00B344D2" w:rsidP="00B344D2">
      <w:pPr>
        <w:pStyle w:val="a5"/>
        <w:spacing w:before="0" w:beforeAutospacing="0" w:after="0" w:afterAutospacing="0" w:line="612" w:lineRule="atLeast"/>
        <w:ind w:firstLine="618"/>
        <w:rPr>
          <w:color w:val="333333"/>
          <w:sz w:val="21"/>
          <w:szCs w:val="21"/>
        </w:rPr>
      </w:pPr>
    </w:p>
    <w:p w:rsidR="00B344D2" w:rsidRDefault="00B344D2" w:rsidP="00B344D2">
      <w:pPr>
        <w:pStyle w:val="a5"/>
        <w:spacing w:before="0" w:beforeAutospacing="0" w:after="0" w:afterAutospacing="0" w:line="612" w:lineRule="atLeast"/>
        <w:jc w:val="center"/>
        <w:rPr>
          <w:color w:val="333333"/>
          <w:sz w:val="21"/>
          <w:szCs w:val="21"/>
        </w:rPr>
      </w:pPr>
      <w:r>
        <w:rPr>
          <w:rFonts w:ascii="黑体" w:eastAsia="黑体" w:hAnsi="黑体" w:hint="eastAsia"/>
          <w:color w:val="444444"/>
          <w:sz w:val="32"/>
          <w:szCs w:val="32"/>
        </w:rPr>
        <w:t>第六章 对违反学术道德行为的处理</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第二十三条</w:t>
      </w:r>
      <w:r>
        <w:rPr>
          <w:rFonts w:ascii="Calibri" w:eastAsia="仿宋" w:hAnsi="Calibri" w:cs="Calibri"/>
          <w:color w:val="444444"/>
          <w:sz w:val="30"/>
          <w:szCs w:val="30"/>
        </w:rPr>
        <w:t> </w:t>
      </w:r>
      <w:r>
        <w:rPr>
          <w:rFonts w:ascii="仿宋" w:eastAsia="仿宋" w:hAnsi="仿宋" w:hint="eastAsia"/>
          <w:color w:val="444444"/>
          <w:sz w:val="30"/>
          <w:szCs w:val="30"/>
        </w:rPr>
        <w:t>对违反学术道德的行为，依据法律、行政法规和学校规章制度的相关规定处理。</w:t>
      </w:r>
    </w:p>
    <w:p w:rsidR="00B344D2" w:rsidRDefault="00B344D2" w:rsidP="00B344D2">
      <w:pPr>
        <w:pStyle w:val="a5"/>
        <w:spacing w:before="0" w:beforeAutospacing="0" w:after="0" w:afterAutospacing="0" w:line="612" w:lineRule="atLeast"/>
        <w:ind w:firstLine="312"/>
        <w:rPr>
          <w:color w:val="333333"/>
          <w:sz w:val="21"/>
          <w:szCs w:val="21"/>
        </w:rPr>
      </w:pPr>
    </w:p>
    <w:p w:rsidR="00B344D2" w:rsidRDefault="00B344D2" w:rsidP="00B344D2">
      <w:pPr>
        <w:pStyle w:val="a5"/>
        <w:spacing w:before="0" w:beforeAutospacing="0" w:after="0" w:afterAutospacing="0" w:line="612" w:lineRule="atLeast"/>
        <w:jc w:val="center"/>
        <w:rPr>
          <w:color w:val="333333"/>
          <w:sz w:val="21"/>
          <w:szCs w:val="21"/>
        </w:rPr>
      </w:pPr>
      <w:r>
        <w:rPr>
          <w:rFonts w:ascii="黑体" w:eastAsia="黑体" w:hAnsi="黑体" w:hint="eastAsia"/>
          <w:color w:val="444444"/>
          <w:sz w:val="32"/>
          <w:szCs w:val="32"/>
        </w:rPr>
        <w:t>第七章 附则</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第二十四条</w:t>
      </w:r>
      <w:r>
        <w:rPr>
          <w:rFonts w:ascii="仿宋" w:eastAsia="仿宋" w:hAnsi="仿宋" w:hint="eastAsia"/>
          <w:color w:val="444444"/>
          <w:sz w:val="30"/>
          <w:szCs w:val="30"/>
        </w:rPr>
        <w:t>本规范由学术委员会负责解释。</w:t>
      </w:r>
    </w:p>
    <w:p w:rsidR="00B344D2" w:rsidRDefault="00B344D2" w:rsidP="00B344D2">
      <w:pPr>
        <w:pStyle w:val="a5"/>
        <w:spacing w:before="0" w:beforeAutospacing="0" w:after="0" w:afterAutospacing="0" w:line="612" w:lineRule="atLeast"/>
        <w:ind w:firstLine="624"/>
        <w:rPr>
          <w:color w:val="333333"/>
          <w:sz w:val="21"/>
          <w:szCs w:val="21"/>
        </w:rPr>
      </w:pPr>
      <w:r>
        <w:rPr>
          <w:rStyle w:val="a6"/>
          <w:rFonts w:ascii="仿宋" w:eastAsia="仿宋" w:hAnsi="仿宋" w:hint="eastAsia"/>
          <w:color w:val="444444"/>
          <w:sz w:val="30"/>
          <w:szCs w:val="30"/>
        </w:rPr>
        <w:t>第二十五条</w:t>
      </w:r>
      <w:r>
        <w:rPr>
          <w:rFonts w:ascii="仿宋" w:eastAsia="仿宋" w:hAnsi="仿宋" w:hint="eastAsia"/>
          <w:color w:val="444444"/>
          <w:sz w:val="30"/>
          <w:szCs w:val="30"/>
        </w:rPr>
        <w:t>本规范自公布之日起施行。</w:t>
      </w:r>
    </w:p>
    <w:p w:rsidR="00272D83" w:rsidRPr="00B344D2" w:rsidRDefault="00272D83"/>
    <w:sectPr w:rsidR="00272D83" w:rsidRPr="00B344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DA3" w:rsidRDefault="007B2DA3" w:rsidP="00B344D2">
      <w:r>
        <w:separator/>
      </w:r>
    </w:p>
  </w:endnote>
  <w:endnote w:type="continuationSeparator" w:id="0">
    <w:p w:rsidR="007B2DA3" w:rsidRDefault="007B2DA3" w:rsidP="00B3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DA3" w:rsidRDefault="007B2DA3" w:rsidP="00B344D2">
      <w:r>
        <w:separator/>
      </w:r>
    </w:p>
  </w:footnote>
  <w:footnote w:type="continuationSeparator" w:id="0">
    <w:p w:rsidR="007B2DA3" w:rsidRDefault="007B2DA3" w:rsidP="00B34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bb7dQugO07B5EhXCL1/TgjCo1rdEPuHSmo3dQvtgpmueVRTuXiuD7Q5fwbxkncTFxxYPWUMd42nBCLgvoDzDEA==" w:salt="wE9u8jnW155I5TPyI9iHn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31"/>
    <w:rsid w:val="001B354F"/>
    <w:rsid w:val="00272D83"/>
    <w:rsid w:val="006F6831"/>
    <w:rsid w:val="007B2DA3"/>
    <w:rsid w:val="008A064D"/>
    <w:rsid w:val="00B34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9B6821-C9D2-4183-B69C-945B51F3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4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4D2"/>
    <w:rPr>
      <w:sz w:val="18"/>
      <w:szCs w:val="18"/>
    </w:rPr>
  </w:style>
  <w:style w:type="paragraph" w:styleId="a4">
    <w:name w:val="footer"/>
    <w:basedOn w:val="a"/>
    <w:link w:val="Char0"/>
    <w:uiPriority w:val="99"/>
    <w:unhideWhenUsed/>
    <w:rsid w:val="00B344D2"/>
    <w:pPr>
      <w:tabs>
        <w:tab w:val="center" w:pos="4153"/>
        <w:tab w:val="right" w:pos="8306"/>
      </w:tabs>
      <w:snapToGrid w:val="0"/>
      <w:jc w:val="left"/>
    </w:pPr>
    <w:rPr>
      <w:sz w:val="18"/>
      <w:szCs w:val="18"/>
    </w:rPr>
  </w:style>
  <w:style w:type="character" w:customStyle="1" w:styleId="Char0">
    <w:name w:val="页脚 Char"/>
    <w:basedOn w:val="a0"/>
    <w:link w:val="a4"/>
    <w:uiPriority w:val="99"/>
    <w:rsid w:val="00B344D2"/>
    <w:rPr>
      <w:sz w:val="18"/>
      <w:szCs w:val="18"/>
    </w:rPr>
  </w:style>
  <w:style w:type="paragraph" w:styleId="a5">
    <w:name w:val="Normal (Web)"/>
    <w:basedOn w:val="a"/>
    <w:uiPriority w:val="99"/>
    <w:semiHidden/>
    <w:unhideWhenUsed/>
    <w:rsid w:val="00B344D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34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BACC-57E7-4110-B7D2-045E8281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231</Words>
  <Characters>1320</Characters>
  <Application>Microsoft Office Word</Application>
  <DocSecurity>8</DocSecurity>
  <Lines>11</Lines>
  <Paragraphs>3</Paragraphs>
  <ScaleCrop>false</ScaleCrop>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chenbo</dc:creator>
  <cp:keywords/>
  <dc:description/>
  <cp:lastModifiedBy>chenbo</cp:lastModifiedBy>
  <cp:revision>3</cp:revision>
  <dcterms:created xsi:type="dcterms:W3CDTF">2022-08-02T07:01:00Z</dcterms:created>
  <dcterms:modified xsi:type="dcterms:W3CDTF">2022-08-02T07:06:00Z</dcterms:modified>
</cp:coreProperties>
</file>