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AEC" w:rsidRPr="001F4AEC" w:rsidRDefault="001F4AEC" w:rsidP="001F4AEC">
      <w:pPr>
        <w:widowControl/>
        <w:shd w:val="clear" w:color="auto" w:fill="FFFFFF"/>
        <w:spacing w:line="405" w:lineRule="atLeast"/>
        <w:jc w:val="center"/>
        <w:rPr>
          <w:rFonts w:ascii="Arial" w:eastAsia="宋体" w:hAnsi="Arial" w:cs="Arial"/>
          <w:color w:val="333333"/>
          <w:kern w:val="0"/>
          <w:szCs w:val="21"/>
        </w:rPr>
      </w:pPr>
      <w:r w:rsidRPr="001F4AEC">
        <w:rPr>
          <w:rFonts w:ascii="黑体" w:eastAsia="黑体" w:hAnsi="黑体" w:cs="Arial" w:hint="eastAsia"/>
          <w:b/>
          <w:bCs/>
          <w:color w:val="293352"/>
          <w:kern w:val="0"/>
          <w:sz w:val="53"/>
          <w:szCs w:val="53"/>
          <w:shd w:val="clear" w:color="auto" w:fill="FFFFFF"/>
        </w:rPr>
        <w:t>上海戏剧学院学术规范</w:t>
      </w:r>
    </w:p>
    <w:p w:rsidR="001F4AEC" w:rsidRPr="001F4AEC" w:rsidRDefault="001F4AEC" w:rsidP="001F4AEC">
      <w:pPr>
        <w:widowControl/>
        <w:shd w:val="clear" w:color="auto" w:fill="FFFFFF"/>
        <w:spacing w:line="405" w:lineRule="atLeast"/>
        <w:jc w:val="center"/>
        <w:rPr>
          <w:rFonts w:ascii="Arial" w:eastAsia="宋体" w:hAnsi="Arial" w:cs="Arial"/>
          <w:color w:val="333333"/>
          <w:kern w:val="0"/>
          <w:szCs w:val="21"/>
        </w:rPr>
      </w:pPr>
    </w:p>
    <w:p w:rsidR="001F4AEC" w:rsidRPr="001F4AEC" w:rsidRDefault="001F4AEC" w:rsidP="001F4AEC">
      <w:pPr>
        <w:widowControl/>
        <w:shd w:val="clear" w:color="auto" w:fill="FFFFFF"/>
        <w:spacing w:line="405" w:lineRule="atLeast"/>
        <w:jc w:val="center"/>
        <w:rPr>
          <w:rFonts w:ascii="Arial" w:eastAsia="宋体" w:hAnsi="Arial" w:cs="Arial"/>
          <w:color w:val="333333"/>
          <w:kern w:val="0"/>
          <w:szCs w:val="21"/>
        </w:rPr>
      </w:pPr>
      <w:r w:rsidRPr="001F4AEC">
        <w:rPr>
          <w:rFonts w:ascii="黑体" w:eastAsia="黑体" w:hAnsi="黑体" w:cs="Arial" w:hint="eastAsia"/>
          <w:color w:val="293352"/>
          <w:kern w:val="0"/>
          <w:sz w:val="36"/>
          <w:szCs w:val="36"/>
          <w:shd w:val="clear" w:color="auto" w:fill="FFFFFF"/>
        </w:rPr>
        <w:t>（征求意见稿）</w:t>
      </w:r>
      <w:r w:rsidRPr="001F4AEC">
        <w:rPr>
          <w:rFonts w:ascii="宋体" w:eastAsia="宋体" w:hAnsi="宋体" w:cs="Arial" w:hint="eastAsia"/>
          <w:color w:val="293352"/>
          <w:kern w:val="0"/>
          <w:sz w:val="24"/>
          <w:szCs w:val="24"/>
          <w:shd w:val="clear" w:color="auto" w:fill="FFFFFF"/>
        </w:rPr>
        <w:t> </w:t>
      </w:r>
      <w:r w:rsidRPr="001F4AEC">
        <w:rPr>
          <w:rFonts w:ascii="Times New Roman" w:eastAsia="宋体" w:hAnsi="Times New Roman" w:cs="Times New Roman"/>
          <w:color w:val="293352"/>
          <w:kern w:val="0"/>
          <w:sz w:val="24"/>
          <w:szCs w:val="24"/>
          <w:shd w:val="clear" w:color="auto" w:fill="FFFFFF"/>
        </w:rPr>
        <w:t> </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Times New Roman" w:eastAsia="宋体" w:hAnsi="Times New Roman" w:cs="Times New Roman"/>
          <w:color w:val="293352"/>
          <w:kern w:val="0"/>
          <w:sz w:val="24"/>
          <w:szCs w:val="24"/>
          <w:shd w:val="clear" w:color="auto" w:fill="FFFFFF"/>
        </w:rPr>
        <w:t> </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Times New Roman" w:eastAsia="宋体" w:hAnsi="Times New Roman" w:cs="Times New Roman"/>
          <w:color w:val="293352"/>
          <w:kern w:val="0"/>
          <w:sz w:val="24"/>
          <w:szCs w:val="24"/>
          <w:shd w:val="clear" w:color="auto" w:fill="FFFFFF"/>
        </w:rPr>
        <w:t> </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Times New Roman" w:eastAsia="宋体" w:hAnsi="Times New Roman" w:cs="Times New Roman"/>
          <w:color w:val="293352"/>
          <w:kern w:val="0"/>
          <w:sz w:val="24"/>
          <w:szCs w:val="24"/>
          <w:shd w:val="clear" w:color="auto" w:fill="FFFFFF"/>
        </w:rPr>
        <w:t> </w:t>
      </w:r>
    </w:p>
    <w:p w:rsidR="001F4AEC" w:rsidRPr="001F4AEC" w:rsidRDefault="001F4AEC" w:rsidP="001F4AEC">
      <w:pPr>
        <w:widowControl/>
        <w:shd w:val="clear" w:color="auto" w:fill="FFFFFF"/>
        <w:spacing w:line="405" w:lineRule="atLeast"/>
        <w:jc w:val="center"/>
        <w:rPr>
          <w:rFonts w:ascii="Arial" w:eastAsia="宋体" w:hAnsi="Arial" w:cs="Arial"/>
          <w:color w:val="333333"/>
          <w:kern w:val="0"/>
          <w:szCs w:val="21"/>
        </w:rPr>
      </w:pPr>
      <w:r w:rsidRPr="001F4AEC">
        <w:rPr>
          <w:rFonts w:ascii="黑体" w:eastAsia="黑体" w:hAnsi="黑体" w:cs="Arial" w:hint="eastAsia"/>
          <w:b/>
          <w:bCs/>
          <w:color w:val="293352"/>
          <w:kern w:val="0"/>
          <w:sz w:val="36"/>
          <w:szCs w:val="36"/>
          <w:shd w:val="clear" w:color="auto" w:fill="FFFFFF"/>
        </w:rPr>
        <w:t>第一章</w:t>
      </w:r>
      <w:r w:rsidRPr="001F4AEC">
        <w:rPr>
          <w:rFonts w:ascii="Calibri" w:eastAsia="黑体" w:hAnsi="Calibri" w:cs="Calibri"/>
          <w:b/>
          <w:bCs/>
          <w:color w:val="293352"/>
          <w:kern w:val="0"/>
          <w:sz w:val="36"/>
          <w:szCs w:val="36"/>
          <w:shd w:val="clear" w:color="auto" w:fill="FFFFFF"/>
        </w:rPr>
        <w:t> </w:t>
      </w:r>
      <w:r w:rsidRPr="001F4AEC">
        <w:rPr>
          <w:rFonts w:ascii="黑体" w:eastAsia="黑体" w:hAnsi="黑体" w:cs="Arial" w:hint="eastAsia"/>
          <w:b/>
          <w:bCs/>
          <w:color w:val="293352"/>
          <w:kern w:val="0"/>
          <w:sz w:val="36"/>
          <w:szCs w:val="36"/>
          <w:shd w:val="clear" w:color="auto" w:fill="FFFFFF"/>
        </w:rPr>
        <w:t>总则</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Times New Roman" w:eastAsia="宋体" w:hAnsi="Times New Roman" w:cs="Times New Roman"/>
          <w:color w:val="293352"/>
          <w:kern w:val="0"/>
          <w:sz w:val="24"/>
          <w:szCs w:val="24"/>
          <w:shd w:val="clear" w:color="auto" w:fill="FFFFFF"/>
        </w:rPr>
        <w:t> </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b/>
          <w:bCs/>
          <w:color w:val="293352"/>
          <w:kern w:val="0"/>
          <w:sz w:val="29"/>
          <w:szCs w:val="29"/>
          <w:shd w:val="clear" w:color="auto" w:fill="FFFFFF"/>
        </w:rPr>
        <w:t>第一条</w:t>
      </w:r>
      <w:r w:rsidRPr="001F4AEC">
        <w:rPr>
          <w:rFonts w:ascii="Calibri" w:eastAsia="仿宋" w:hAnsi="Calibri" w:cs="Calibri"/>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为加强学风建设、促进学术繁荣和科学研究的发展，倡导尊重学术、崇尚严谨、求真求实的良好风尚，进一步规范上海戏剧学院师生的学术活动，维护学术诚信，特制定本规范。</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b/>
          <w:bCs/>
          <w:color w:val="293352"/>
          <w:kern w:val="0"/>
          <w:sz w:val="29"/>
          <w:szCs w:val="29"/>
          <w:shd w:val="clear" w:color="auto" w:fill="FFFFFF"/>
        </w:rPr>
        <w:t>第二条</w:t>
      </w:r>
      <w:r w:rsidRPr="001F4AEC">
        <w:rPr>
          <w:rFonts w:ascii="Calibri" w:eastAsia="仿宋" w:hAnsi="Calibri" w:cs="Calibri"/>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上海戏剧学院全体教职员工、博士后研究人员、访问学者、进修教师和在校学生，及其他上海戏剧学院委托开展学术活动的人员都应遵守本规范。</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本规范适用于上述人员独立或与他人合作署名、编写、编著、撰写、修订、校改、翻译、译注或编辑且公开发表的各种学术成果，其载体形式包括论文、专著、实验报告、主题演讲、有声读物、视频、电子出版物及网络等。</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Times New Roman" w:eastAsia="宋体" w:hAnsi="Times New Roman" w:cs="Times New Roman"/>
          <w:color w:val="293352"/>
          <w:kern w:val="0"/>
          <w:sz w:val="24"/>
          <w:szCs w:val="24"/>
          <w:shd w:val="clear" w:color="auto" w:fill="FFFFFF"/>
        </w:rPr>
        <w:t> </w:t>
      </w:r>
    </w:p>
    <w:p w:rsidR="001F4AEC" w:rsidRPr="001F4AEC" w:rsidRDefault="001F4AEC" w:rsidP="001F4AEC">
      <w:pPr>
        <w:widowControl/>
        <w:shd w:val="clear" w:color="auto" w:fill="FFFFFF"/>
        <w:spacing w:line="405" w:lineRule="atLeast"/>
        <w:jc w:val="center"/>
        <w:rPr>
          <w:rFonts w:ascii="Arial" w:eastAsia="宋体" w:hAnsi="Arial" w:cs="Arial"/>
          <w:color w:val="333333"/>
          <w:kern w:val="0"/>
          <w:szCs w:val="21"/>
        </w:rPr>
      </w:pPr>
      <w:r w:rsidRPr="001F4AEC">
        <w:rPr>
          <w:rFonts w:ascii="黑体" w:eastAsia="黑体" w:hAnsi="黑体" w:cs="Arial" w:hint="eastAsia"/>
          <w:b/>
          <w:bCs/>
          <w:color w:val="293352"/>
          <w:kern w:val="0"/>
          <w:sz w:val="36"/>
          <w:szCs w:val="36"/>
          <w:shd w:val="clear" w:color="auto" w:fill="FFFFFF"/>
        </w:rPr>
        <w:t>第二章</w:t>
      </w:r>
      <w:r w:rsidRPr="001F4AEC">
        <w:rPr>
          <w:rFonts w:ascii="Calibri" w:eastAsia="黑体" w:hAnsi="Calibri" w:cs="Calibri"/>
          <w:b/>
          <w:bCs/>
          <w:color w:val="293352"/>
          <w:kern w:val="0"/>
          <w:sz w:val="36"/>
          <w:szCs w:val="36"/>
          <w:shd w:val="clear" w:color="auto" w:fill="FFFFFF"/>
        </w:rPr>
        <w:t> </w:t>
      </w:r>
      <w:r w:rsidRPr="001F4AEC">
        <w:rPr>
          <w:rFonts w:ascii="黑体" w:eastAsia="黑体" w:hAnsi="黑体" w:cs="Arial" w:hint="eastAsia"/>
          <w:b/>
          <w:bCs/>
          <w:color w:val="293352"/>
          <w:kern w:val="0"/>
          <w:sz w:val="36"/>
          <w:szCs w:val="36"/>
          <w:shd w:val="clear" w:color="auto" w:fill="FFFFFF"/>
        </w:rPr>
        <w:t>学术规范</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Times New Roman" w:eastAsia="宋体" w:hAnsi="Times New Roman" w:cs="Times New Roman"/>
          <w:color w:val="293352"/>
          <w:kern w:val="0"/>
          <w:sz w:val="24"/>
          <w:szCs w:val="24"/>
          <w:shd w:val="clear" w:color="auto" w:fill="FFFFFF"/>
        </w:rPr>
        <w:t> </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b/>
          <w:bCs/>
          <w:color w:val="293352"/>
          <w:kern w:val="0"/>
          <w:sz w:val="29"/>
          <w:szCs w:val="29"/>
          <w:shd w:val="clear" w:color="auto" w:fill="FFFFFF"/>
        </w:rPr>
        <w:t>第三条</w:t>
      </w:r>
      <w:r w:rsidRPr="001F4AEC">
        <w:rPr>
          <w:rFonts w:ascii="Calibri" w:eastAsia="仿宋" w:hAnsi="Calibri" w:cs="Calibri"/>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本规范要求上述第二条所指涉人员遵循学术界普遍公认的各项学术道德准则，包括以下各项：</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lastRenderedPageBreak/>
        <w:t>（一）实施研究、撰写论文、实验报告或申请课题时尊重实验数据，全面引用数据。</w:t>
      </w:r>
      <w:r w:rsidRPr="001F4AEC">
        <w:rPr>
          <w:rFonts w:ascii="Calibri" w:eastAsia="仿宋" w:hAnsi="Calibri" w:cs="Calibri"/>
          <w:color w:val="293352"/>
          <w:kern w:val="0"/>
          <w:sz w:val="29"/>
          <w:szCs w:val="29"/>
          <w:shd w:val="clear" w:color="auto" w:fill="FFFFFF"/>
        </w:rPr>
        <w:t> </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二）尊重知识产权，在学术成果中引用他人成果，必须注明出处，不得损害被引用人的权益；引用他人尚未发表的研究思路和结果，必须经过本人同意，并注明被引用人姓名或出处；被引用的内容不能构成引用人作品的主要部分或实质部分。</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Calibri" w:eastAsia="仿宋" w:hAnsi="Calibri" w:cs="Calibri"/>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三）学术成果（作品）的署名应与研究人员的贡献大小相符，并符合当事人自愿原则，合作作品的署名也可按学术界惯例根据当事人事先约定的次序排列。署名者须对研究成果承担相应的责任，若约定分担的责任不同，应在作品中以适当方式加以说明。署名作者对成果的学术规范情况负有责任。</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Calibri" w:eastAsia="仿宋" w:hAnsi="Calibri" w:cs="Calibri"/>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（四）申报、推介自己的学术成果，参与推荐、评审、论证、鉴定他人学术成果等活动的，应遵循客观、公正、全面的原则，坚决抵制各种不良影响和干扰。</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Calibri" w:eastAsia="仿宋" w:hAnsi="Calibri" w:cs="Calibri"/>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（五）学术、科研活动涉及国家安全、信息安全等，应严格遵守相关法律、法规、规章制度的规定和伦理道德方面的要求。</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若本规范与法律、法规、行政法规和行政规章的具体规定不一致的，以法律、法规、行政法规和行政规章的规定为准。</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Calibri" w:eastAsia="仿宋" w:hAnsi="Calibri" w:cs="Calibri"/>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（六）其他学术界共同遵循的学术规范。</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Times New Roman" w:eastAsia="宋体" w:hAnsi="Times New Roman" w:cs="Times New Roman"/>
          <w:color w:val="293352"/>
          <w:kern w:val="0"/>
          <w:sz w:val="24"/>
          <w:szCs w:val="24"/>
          <w:shd w:val="clear" w:color="auto" w:fill="FFFFFF"/>
        </w:rPr>
        <w:t> </w:t>
      </w:r>
    </w:p>
    <w:p w:rsidR="001F4AEC" w:rsidRPr="001F4AEC" w:rsidRDefault="001F4AEC" w:rsidP="001F4AEC">
      <w:pPr>
        <w:widowControl/>
        <w:shd w:val="clear" w:color="auto" w:fill="FFFFFF"/>
        <w:spacing w:line="405" w:lineRule="atLeast"/>
        <w:jc w:val="center"/>
        <w:rPr>
          <w:rFonts w:ascii="Arial" w:eastAsia="宋体" w:hAnsi="Arial" w:cs="Arial"/>
          <w:color w:val="333333"/>
          <w:kern w:val="0"/>
          <w:szCs w:val="21"/>
        </w:rPr>
      </w:pPr>
      <w:r w:rsidRPr="001F4AEC">
        <w:rPr>
          <w:rFonts w:ascii="黑体" w:eastAsia="黑体" w:hAnsi="黑体" w:cs="Arial" w:hint="eastAsia"/>
          <w:b/>
          <w:bCs/>
          <w:color w:val="293352"/>
          <w:kern w:val="0"/>
          <w:sz w:val="36"/>
          <w:szCs w:val="36"/>
          <w:shd w:val="clear" w:color="auto" w:fill="FFFFFF"/>
        </w:rPr>
        <w:t>第三章</w:t>
      </w:r>
      <w:r w:rsidRPr="001F4AEC">
        <w:rPr>
          <w:rFonts w:ascii="Calibri" w:eastAsia="黑体" w:hAnsi="Calibri" w:cs="Calibri"/>
          <w:b/>
          <w:bCs/>
          <w:color w:val="293352"/>
          <w:kern w:val="0"/>
          <w:sz w:val="36"/>
          <w:szCs w:val="36"/>
          <w:shd w:val="clear" w:color="auto" w:fill="FFFFFF"/>
        </w:rPr>
        <w:t> </w:t>
      </w:r>
      <w:r w:rsidRPr="001F4AEC">
        <w:rPr>
          <w:rFonts w:ascii="黑体" w:eastAsia="黑体" w:hAnsi="黑体" w:cs="Arial" w:hint="eastAsia"/>
          <w:b/>
          <w:bCs/>
          <w:color w:val="293352"/>
          <w:kern w:val="0"/>
          <w:sz w:val="36"/>
          <w:szCs w:val="36"/>
          <w:shd w:val="clear" w:color="auto" w:fill="FFFFFF"/>
        </w:rPr>
        <w:t>学术不端行为的认定</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Times New Roman" w:eastAsia="宋体" w:hAnsi="Times New Roman" w:cs="Times New Roman"/>
          <w:color w:val="293352"/>
          <w:kern w:val="0"/>
          <w:sz w:val="24"/>
          <w:szCs w:val="24"/>
          <w:shd w:val="clear" w:color="auto" w:fill="FFFFFF"/>
        </w:rPr>
        <w:t> </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b/>
          <w:bCs/>
          <w:color w:val="293352"/>
          <w:kern w:val="0"/>
          <w:sz w:val="29"/>
          <w:szCs w:val="29"/>
          <w:shd w:val="clear" w:color="auto" w:fill="FFFFFF"/>
        </w:rPr>
        <w:lastRenderedPageBreak/>
        <w:t>第四条</w:t>
      </w:r>
      <w:r w:rsidRPr="001F4AEC">
        <w:rPr>
          <w:rFonts w:ascii="Calibri" w:eastAsia="仿宋" w:hAnsi="Calibri" w:cs="Calibri"/>
          <w:b/>
          <w:bCs/>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学术不端行为是指在实施研究、撰写论文、实验报告或申请课题、参加各类评选活动或申报奖项过程中故意实施的造假、篡改、抄袭、剽窃等严重违背学术诚信的不良行为。构成学术不端行为的动机或后果是采用不正当手段为自己或小团体获取学术或相关利益，明显伤害他人利益，其严重性取决于学术违规人员的获利或伤害他人的程度。</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b/>
          <w:bCs/>
          <w:color w:val="293352"/>
          <w:kern w:val="0"/>
          <w:sz w:val="29"/>
          <w:szCs w:val="29"/>
          <w:shd w:val="clear" w:color="auto" w:fill="FFFFFF"/>
        </w:rPr>
        <w:t>第五条</w:t>
      </w:r>
      <w:r w:rsidRPr="001F4AEC">
        <w:rPr>
          <w:rFonts w:ascii="Calibri" w:eastAsia="仿宋" w:hAnsi="Calibri" w:cs="Calibri"/>
          <w:b/>
          <w:bCs/>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学术不端行为的表现主要有：</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Calibri" w:eastAsia="仿宋" w:hAnsi="Calibri" w:cs="Calibri"/>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 xml:space="preserve"> </w:t>
      </w:r>
      <w:r w:rsidRPr="001F4AEC">
        <w:rPr>
          <w:rFonts w:ascii="Calibri" w:eastAsia="仿宋" w:hAnsi="Calibri" w:cs="Calibri"/>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（一）抄袭、剽窃、侵吞他人学术成果：</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（1）不注明出处，故意将已发表或他人未发表的学术成果作为自己的研究成果发表；</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（2）以翻译或直接改写的方式，将外文作品作为自己作品的内容予以发表；</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（3）将他人的学术观点、思想或成果冒充为自己原创；</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（4）故意省略引用他人成果的事实，使人们误将其作品视为原创作品。</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（5）故意一稿多投、重复发表，情节严重，造成较大不良社会影响的属于学术不端。</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Calibri" w:eastAsia="仿宋" w:hAnsi="Calibri" w:cs="Calibri"/>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（二）伪造、篡改数据、图片和文献，或捏造事实：</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（1）虚构、篡改实验数据、图片或结果误导审稿人和读者，或故意舍去部分数据，造成错误结论。</w:t>
      </w:r>
      <w:bookmarkStart w:id="0" w:name="_GoBack"/>
      <w:bookmarkEnd w:id="0"/>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lastRenderedPageBreak/>
        <w:t>（2）在项目申请、成果申报、成果推广、求职、履历和提职申请中作虚假陈述，提供各种伪造证书、论文发表证明、文献引用证明等；</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（3）篡改他人学术成果，伪造注释；</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（4）参与他人的学术造假活动及对他人揭发、查处学术不端行为进行打击报复等。</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Times New Roman" w:eastAsia="宋体" w:hAnsi="Times New Roman" w:cs="Times New Roman"/>
          <w:color w:val="293352"/>
          <w:kern w:val="0"/>
          <w:sz w:val="24"/>
          <w:szCs w:val="24"/>
          <w:shd w:val="clear" w:color="auto" w:fill="FFFFFF"/>
        </w:rPr>
        <w:t> </w:t>
      </w:r>
    </w:p>
    <w:p w:rsidR="001F4AEC" w:rsidRPr="001F4AEC" w:rsidRDefault="001F4AEC" w:rsidP="001F4AEC">
      <w:pPr>
        <w:widowControl/>
        <w:shd w:val="clear" w:color="auto" w:fill="FFFFFF"/>
        <w:spacing w:line="405" w:lineRule="atLeast"/>
        <w:jc w:val="center"/>
        <w:rPr>
          <w:rFonts w:ascii="Arial" w:eastAsia="宋体" w:hAnsi="Arial" w:cs="Arial"/>
          <w:color w:val="333333"/>
          <w:kern w:val="0"/>
          <w:szCs w:val="21"/>
        </w:rPr>
      </w:pPr>
      <w:r w:rsidRPr="001F4AEC">
        <w:rPr>
          <w:rFonts w:ascii="黑体" w:eastAsia="黑体" w:hAnsi="黑体" w:cs="Arial" w:hint="eastAsia"/>
          <w:b/>
          <w:bCs/>
          <w:color w:val="293352"/>
          <w:kern w:val="0"/>
          <w:sz w:val="36"/>
          <w:szCs w:val="36"/>
          <w:shd w:val="clear" w:color="auto" w:fill="FFFFFF"/>
        </w:rPr>
        <w:t>第四章</w:t>
      </w:r>
      <w:r w:rsidRPr="001F4AEC">
        <w:rPr>
          <w:rFonts w:ascii="Calibri" w:eastAsia="黑体" w:hAnsi="Calibri" w:cs="Calibri"/>
          <w:b/>
          <w:bCs/>
          <w:color w:val="293352"/>
          <w:kern w:val="0"/>
          <w:sz w:val="36"/>
          <w:szCs w:val="36"/>
          <w:shd w:val="clear" w:color="auto" w:fill="FFFFFF"/>
        </w:rPr>
        <w:t> </w:t>
      </w:r>
      <w:r w:rsidRPr="001F4AEC">
        <w:rPr>
          <w:rFonts w:ascii="黑体" w:eastAsia="黑体" w:hAnsi="黑体" w:cs="Arial" w:hint="eastAsia"/>
          <w:b/>
          <w:bCs/>
          <w:color w:val="293352"/>
          <w:kern w:val="0"/>
          <w:sz w:val="36"/>
          <w:szCs w:val="36"/>
          <w:shd w:val="clear" w:color="auto" w:fill="FFFFFF"/>
        </w:rPr>
        <w:t>学术不当行为的界定</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Times New Roman" w:eastAsia="宋体" w:hAnsi="Times New Roman" w:cs="Times New Roman"/>
          <w:color w:val="293352"/>
          <w:kern w:val="0"/>
          <w:sz w:val="24"/>
          <w:szCs w:val="24"/>
          <w:shd w:val="clear" w:color="auto" w:fill="FFFFFF"/>
        </w:rPr>
        <w:t> </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b/>
          <w:bCs/>
          <w:color w:val="293352"/>
          <w:kern w:val="0"/>
          <w:sz w:val="29"/>
          <w:szCs w:val="29"/>
          <w:shd w:val="clear" w:color="auto" w:fill="FFFFFF"/>
        </w:rPr>
        <w:t>第六条</w:t>
      </w:r>
      <w:r w:rsidRPr="001F4AEC">
        <w:rPr>
          <w:rFonts w:ascii="Calibri" w:eastAsia="仿宋" w:hAnsi="Calibri" w:cs="Calibri"/>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学术不当行为是指因缺乏严谨治学态度，违反一般学术规范，虽不属于造假、篡改、抄袭、剽窃等学术不端行为，但在学术活动中损害他人合法利益或造成一定不良后果的行为。</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b/>
          <w:bCs/>
          <w:color w:val="293352"/>
          <w:kern w:val="0"/>
          <w:sz w:val="29"/>
          <w:szCs w:val="29"/>
          <w:shd w:val="clear" w:color="auto" w:fill="FFFFFF"/>
        </w:rPr>
        <w:t>第七条</w:t>
      </w:r>
      <w:r w:rsidRPr="001F4AEC">
        <w:rPr>
          <w:rFonts w:ascii="Calibri" w:eastAsia="仿宋" w:hAnsi="Calibri" w:cs="Calibri"/>
          <w:b/>
          <w:bCs/>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学术不当行为的表现主要有：</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（一）不当科研行为：</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（1）不当使用科研信息，如未经授权，将审阅稿件、项目申请书等文件时获取的信息、他人未公开作品或研究计划等发表、透露给第三方或为己所用；</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（2）夸大有关学术成果的意义和作用；</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（3）不当使用数据。</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（二）不当的同行关系：</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（1）不当署名，如署名者不当获取与其在学术活动中的实际贡献不相称的荣誉或利益，或违背所有当事人自愿或事先达成的约定署名，或故意将对某学术活动和就科学研究工作作出实质性</w:t>
      </w:r>
      <w:r w:rsidRPr="001F4AEC">
        <w:rPr>
          <w:rFonts w:ascii="仿宋" w:eastAsia="仿宋" w:hAnsi="仿宋" w:cs="Arial" w:hint="eastAsia"/>
          <w:color w:val="293352"/>
          <w:kern w:val="0"/>
          <w:sz w:val="29"/>
          <w:szCs w:val="29"/>
          <w:shd w:val="clear" w:color="auto" w:fill="FFFFFF"/>
        </w:rPr>
        <w:lastRenderedPageBreak/>
        <w:t>贡献的人不予署名，以及利用自身的职务、地位或其他影响力无理要求作者同意共同署名等；</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（2）采用不正当手段干扰和妨碍他人研究活动；</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（3）基于直接、间接或潜在的利益冲突对他人的学术成果作出不客观、不准确、不公正的评价；</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（4）学术上不当的师生关系。</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color w:val="293352"/>
          <w:kern w:val="0"/>
          <w:sz w:val="29"/>
          <w:szCs w:val="29"/>
          <w:shd w:val="clear" w:color="auto" w:fill="FFFFFF"/>
        </w:rPr>
        <w:t>（三）非故意而导致的一稿多投和重复发表。</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Calibri" w:eastAsia="仿宋" w:hAnsi="Calibri" w:cs="Calibri"/>
          <w:b/>
          <w:bCs/>
          <w:color w:val="293352"/>
          <w:kern w:val="0"/>
          <w:sz w:val="29"/>
          <w:szCs w:val="29"/>
          <w:shd w:val="clear" w:color="auto" w:fill="FFFFFF"/>
        </w:rPr>
        <w:t> </w:t>
      </w:r>
    </w:p>
    <w:p w:rsidR="001F4AEC" w:rsidRPr="001F4AEC" w:rsidRDefault="001F4AEC" w:rsidP="001F4AEC">
      <w:pPr>
        <w:widowControl/>
        <w:shd w:val="clear" w:color="auto" w:fill="FFFFFF"/>
        <w:spacing w:line="405" w:lineRule="atLeast"/>
        <w:jc w:val="center"/>
        <w:rPr>
          <w:rFonts w:ascii="Arial" w:eastAsia="宋体" w:hAnsi="Arial" w:cs="Arial"/>
          <w:color w:val="333333"/>
          <w:kern w:val="0"/>
          <w:szCs w:val="21"/>
        </w:rPr>
      </w:pPr>
      <w:r w:rsidRPr="001F4AEC">
        <w:rPr>
          <w:rFonts w:ascii="黑体" w:eastAsia="黑体" w:hAnsi="黑体" w:cs="Arial" w:hint="eastAsia"/>
          <w:b/>
          <w:bCs/>
          <w:color w:val="293352"/>
          <w:kern w:val="0"/>
          <w:sz w:val="36"/>
          <w:szCs w:val="36"/>
          <w:shd w:val="clear" w:color="auto" w:fill="FFFFFF"/>
        </w:rPr>
        <w:t>第五章</w:t>
      </w:r>
      <w:r w:rsidRPr="001F4AEC">
        <w:rPr>
          <w:rFonts w:ascii="Calibri" w:eastAsia="黑体" w:hAnsi="Calibri" w:cs="Calibri"/>
          <w:b/>
          <w:bCs/>
          <w:color w:val="293352"/>
          <w:kern w:val="0"/>
          <w:sz w:val="36"/>
          <w:szCs w:val="36"/>
          <w:shd w:val="clear" w:color="auto" w:fill="FFFFFF"/>
        </w:rPr>
        <w:t> </w:t>
      </w:r>
      <w:r w:rsidRPr="001F4AEC">
        <w:rPr>
          <w:rFonts w:ascii="黑体" w:eastAsia="黑体" w:hAnsi="黑体" w:cs="Arial" w:hint="eastAsia"/>
          <w:b/>
          <w:bCs/>
          <w:color w:val="293352"/>
          <w:kern w:val="0"/>
          <w:sz w:val="36"/>
          <w:szCs w:val="36"/>
          <w:shd w:val="clear" w:color="auto" w:fill="FFFFFF"/>
        </w:rPr>
        <w:t>附则</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Times New Roman" w:eastAsia="宋体" w:hAnsi="Times New Roman" w:cs="Times New Roman"/>
          <w:color w:val="293352"/>
          <w:kern w:val="0"/>
          <w:sz w:val="24"/>
          <w:szCs w:val="24"/>
          <w:shd w:val="clear" w:color="auto" w:fill="FFFFFF"/>
        </w:rPr>
        <w:t> </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b/>
          <w:bCs/>
          <w:color w:val="293352"/>
          <w:kern w:val="0"/>
          <w:sz w:val="29"/>
          <w:szCs w:val="29"/>
          <w:shd w:val="clear" w:color="auto" w:fill="FFFFFF"/>
        </w:rPr>
        <w:t>第八条</w:t>
      </w:r>
      <w:r w:rsidRPr="001F4AEC">
        <w:rPr>
          <w:rFonts w:ascii="Calibri" w:eastAsia="仿宋" w:hAnsi="Calibri" w:cs="Calibri"/>
          <w:b/>
          <w:bCs/>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对于违反本规范的学术不端行为和学术不当行为的，调查处理程序和相关规定另行制定。</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b/>
          <w:bCs/>
          <w:color w:val="293352"/>
          <w:kern w:val="0"/>
          <w:sz w:val="29"/>
          <w:szCs w:val="29"/>
          <w:shd w:val="clear" w:color="auto" w:fill="FFFFFF"/>
        </w:rPr>
        <w:t>第九条</w:t>
      </w:r>
      <w:r w:rsidRPr="001F4AEC">
        <w:rPr>
          <w:rFonts w:ascii="Calibri" w:eastAsia="仿宋" w:hAnsi="Calibri" w:cs="Calibri"/>
          <w:b/>
          <w:bCs/>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本规范需要修改时，可按第十条规定的程序，报批后实行。</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b/>
          <w:bCs/>
          <w:color w:val="293352"/>
          <w:kern w:val="0"/>
          <w:sz w:val="29"/>
          <w:szCs w:val="29"/>
          <w:shd w:val="clear" w:color="auto" w:fill="FFFFFF"/>
        </w:rPr>
        <w:t>第十条</w:t>
      </w:r>
      <w:r w:rsidRPr="001F4AEC">
        <w:rPr>
          <w:rFonts w:ascii="Calibri" w:eastAsia="仿宋" w:hAnsi="Calibri" w:cs="Calibri"/>
          <w:b/>
          <w:bCs/>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本规范由校学术委员会负责解释。</w:t>
      </w:r>
    </w:p>
    <w:p w:rsidR="001F4AEC" w:rsidRPr="001F4AEC" w:rsidRDefault="001F4AEC" w:rsidP="001F4AEC">
      <w:pPr>
        <w:widowControl/>
        <w:shd w:val="clear" w:color="auto" w:fill="FFFFFF"/>
        <w:spacing w:line="405" w:lineRule="atLeast"/>
        <w:ind w:firstLine="555"/>
        <w:jc w:val="left"/>
        <w:rPr>
          <w:rFonts w:ascii="Arial" w:eastAsia="宋体" w:hAnsi="Arial" w:cs="Arial"/>
          <w:color w:val="333333"/>
          <w:kern w:val="0"/>
          <w:szCs w:val="21"/>
        </w:rPr>
      </w:pPr>
      <w:r w:rsidRPr="001F4AEC">
        <w:rPr>
          <w:rFonts w:ascii="仿宋" w:eastAsia="仿宋" w:hAnsi="仿宋" w:cs="Arial" w:hint="eastAsia"/>
          <w:b/>
          <w:bCs/>
          <w:color w:val="293352"/>
          <w:kern w:val="0"/>
          <w:sz w:val="29"/>
          <w:szCs w:val="29"/>
          <w:shd w:val="clear" w:color="auto" w:fill="FFFFFF"/>
        </w:rPr>
        <w:t>第十一条</w:t>
      </w:r>
      <w:r w:rsidRPr="001F4AEC">
        <w:rPr>
          <w:rFonts w:ascii="Calibri" w:eastAsia="仿宋" w:hAnsi="Calibri" w:cs="Calibri"/>
          <w:b/>
          <w:bCs/>
          <w:color w:val="293352"/>
          <w:kern w:val="0"/>
          <w:sz w:val="29"/>
          <w:szCs w:val="29"/>
          <w:shd w:val="clear" w:color="auto" w:fill="FFFFFF"/>
        </w:rPr>
        <w:t> </w:t>
      </w:r>
      <w:r w:rsidRPr="001F4AEC">
        <w:rPr>
          <w:rFonts w:ascii="仿宋" w:eastAsia="仿宋" w:hAnsi="仿宋" w:cs="Arial" w:hint="eastAsia"/>
          <w:color w:val="293352"/>
          <w:kern w:val="0"/>
          <w:sz w:val="29"/>
          <w:szCs w:val="29"/>
          <w:shd w:val="clear" w:color="auto" w:fill="FFFFFF"/>
        </w:rPr>
        <w:t>本规范经校学术委员会审议批准后公布施行。</w:t>
      </w:r>
    </w:p>
    <w:p w:rsidR="001F4AEC" w:rsidRPr="001F4AEC" w:rsidRDefault="001F4AEC" w:rsidP="001F4AEC">
      <w:pPr>
        <w:widowControl/>
        <w:shd w:val="clear" w:color="auto" w:fill="FFFFFF"/>
        <w:spacing w:line="405" w:lineRule="atLeast"/>
        <w:jc w:val="left"/>
        <w:rPr>
          <w:rFonts w:ascii="Arial" w:eastAsia="宋体" w:hAnsi="Arial" w:cs="Arial"/>
          <w:color w:val="333333"/>
          <w:kern w:val="0"/>
          <w:szCs w:val="21"/>
        </w:rPr>
      </w:pPr>
      <w:r w:rsidRPr="001F4AEC">
        <w:rPr>
          <w:rFonts w:ascii="Calibri" w:eastAsia="仿宋" w:hAnsi="Calibri" w:cs="Calibri"/>
          <w:color w:val="293352"/>
          <w:kern w:val="0"/>
          <w:sz w:val="29"/>
          <w:szCs w:val="29"/>
          <w:shd w:val="clear" w:color="auto" w:fill="FFFFFF"/>
        </w:rPr>
        <w:t> </w:t>
      </w:r>
    </w:p>
    <w:p w:rsidR="00272D83" w:rsidRPr="001F4AEC" w:rsidRDefault="00272D83"/>
    <w:sectPr w:rsidR="00272D83" w:rsidRPr="001F4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862" w:rsidRDefault="00B83862" w:rsidP="001F4AEC">
      <w:r>
        <w:separator/>
      </w:r>
    </w:p>
  </w:endnote>
  <w:endnote w:type="continuationSeparator" w:id="0">
    <w:p w:rsidR="00B83862" w:rsidRDefault="00B83862" w:rsidP="001F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862" w:rsidRDefault="00B83862" w:rsidP="001F4AEC">
      <w:r>
        <w:separator/>
      </w:r>
    </w:p>
  </w:footnote>
  <w:footnote w:type="continuationSeparator" w:id="0">
    <w:p w:rsidR="00B83862" w:rsidRDefault="00B83862" w:rsidP="001F4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1" w:cryptProviderType="rsaAES" w:cryptAlgorithmClass="hash" w:cryptAlgorithmType="typeAny" w:cryptAlgorithmSid="14" w:cryptSpinCount="100000" w:hash="lgWwB3oifCikZxeqKLN8Vc/e0T01ETTme8ZDdmLVKIIhW7qTdL7aTrQ0CZH1FD6Rg8egVIqnV1ZZtTh0VlApEw==" w:salt="ZOUw6PutTjhVm6zTaEjdJA=="/>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5F"/>
    <w:rsid w:val="001F4AEC"/>
    <w:rsid w:val="00272D83"/>
    <w:rsid w:val="0045015F"/>
    <w:rsid w:val="00B83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3858EA0-143E-404C-A8F8-9960D359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F4A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F4AEC"/>
    <w:rPr>
      <w:sz w:val="18"/>
      <w:szCs w:val="18"/>
    </w:rPr>
  </w:style>
  <w:style w:type="paragraph" w:styleId="a4">
    <w:name w:val="footer"/>
    <w:basedOn w:val="a"/>
    <w:link w:val="Char0"/>
    <w:uiPriority w:val="99"/>
    <w:unhideWhenUsed/>
    <w:rsid w:val="001F4AEC"/>
    <w:pPr>
      <w:tabs>
        <w:tab w:val="center" w:pos="4153"/>
        <w:tab w:val="right" w:pos="8306"/>
      </w:tabs>
      <w:snapToGrid w:val="0"/>
      <w:jc w:val="left"/>
    </w:pPr>
    <w:rPr>
      <w:sz w:val="18"/>
      <w:szCs w:val="18"/>
    </w:rPr>
  </w:style>
  <w:style w:type="character" w:customStyle="1" w:styleId="Char0">
    <w:name w:val="页脚 Char"/>
    <w:basedOn w:val="a0"/>
    <w:link w:val="a4"/>
    <w:uiPriority w:val="99"/>
    <w:rsid w:val="001F4AEC"/>
    <w:rPr>
      <w:sz w:val="18"/>
      <w:szCs w:val="18"/>
    </w:rPr>
  </w:style>
  <w:style w:type="character" w:styleId="a5">
    <w:name w:val="Strong"/>
    <w:basedOn w:val="a0"/>
    <w:uiPriority w:val="22"/>
    <w:qFormat/>
    <w:rsid w:val="001F4AEC"/>
    <w:rPr>
      <w:b/>
      <w:bCs/>
    </w:rPr>
  </w:style>
  <w:style w:type="character" w:customStyle="1" w:styleId="15">
    <w:name w:val="15"/>
    <w:basedOn w:val="a0"/>
    <w:rsid w:val="001F4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11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301</Words>
  <Characters>1716</Characters>
  <Application>Microsoft Office Word</Application>
  <DocSecurity>8</DocSecurity>
  <Lines>14</Lines>
  <Paragraphs>4</Paragraphs>
  <ScaleCrop>false</ScaleCrop>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chenbo</dc:creator>
  <cp:keywords/>
  <dc:description/>
  <cp:lastModifiedBy>chenbo</cp:lastModifiedBy>
  <cp:revision>2</cp:revision>
  <dcterms:created xsi:type="dcterms:W3CDTF">2022-08-02T07:09:00Z</dcterms:created>
  <dcterms:modified xsi:type="dcterms:W3CDTF">2022-08-02T07:10:00Z</dcterms:modified>
</cp:coreProperties>
</file>